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B67" w:rsidRPr="00646909" w:rsidRDefault="00FB4548" w:rsidP="00CB2B67">
      <w:pPr>
        <w:jc w:val="right"/>
        <w:rPr>
          <w:sz w:val="28"/>
          <w:szCs w:val="28"/>
        </w:rPr>
      </w:pPr>
      <w:r w:rsidRPr="00646909">
        <w:rPr>
          <w:i/>
          <w:sz w:val="28"/>
          <w:szCs w:val="28"/>
        </w:rPr>
        <w:t>Projekts</w:t>
      </w:r>
    </w:p>
    <w:p w:rsidR="00CB2B67" w:rsidRPr="00646909" w:rsidRDefault="00CB2B67" w:rsidP="00CB2B67">
      <w:pPr>
        <w:rPr>
          <w:sz w:val="28"/>
          <w:szCs w:val="28"/>
        </w:rPr>
      </w:pPr>
    </w:p>
    <w:p w:rsidR="00CB2B67" w:rsidRPr="00646909" w:rsidRDefault="00FB4548" w:rsidP="00CB2B67">
      <w:pPr>
        <w:jc w:val="center"/>
        <w:rPr>
          <w:sz w:val="28"/>
          <w:szCs w:val="28"/>
        </w:rPr>
      </w:pPr>
      <w:r w:rsidRPr="00646909">
        <w:rPr>
          <w:sz w:val="28"/>
          <w:szCs w:val="28"/>
        </w:rPr>
        <w:t>LATVIJAS REPUBLIKAS MINISTRU KABINETS</w:t>
      </w:r>
    </w:p>
    <w:p w:rsidR="00CB2B67" w:rsidRPr="00646909" w:rsidRDefault="00FB4548" w:rsidP="00CB2B67">
      <w:pPr>
        <w:rPr>
          <w:sz w:val="28"/>
          <w:szCs w:val="28"/>
        </w:rPr>
      </w:pPr>
      <w:r w:rsidRPr="00646909">
        <w:rPr>
          <w:sz w:val="28"/>
          <w:szCs w:val="28"/>
        </w:rPr>
        <w:t> </w:t>
      </w:r>
    </w:p>
    <w:p w:rsidR="00CB2B67" w:rsidRPr="007655F9" w:rsidRDefault="00FB4548" w:rsidP="00CB2B67">
      <w:pPr>
        <w:tabs>
          <w:tab w:val="right" w:pos="9000"/>
        </w:tabs>
        <w:rPr>
          <w:color w:val="000000"/>
          <w:sz w:val="26"/>
          <w:szCs w:val="26"/>
        </w:rPr>
      </w:pPr>
      <w:r w:rsidRPr="007655F9">
        <w:rPr>
          <w:sz w:val="26"/>
          <w:szCs w:val="26"/>
        </w:rPr>
        <w:t>20__. gada __. ___</w:t>
      </w:r>
      <w:r w:rsidRPr="007655F9">
        <w:rPr>
          <w:sz w:val="26"/>
          <w:szCs w:val="26"/>
        </w:rPr>
        <w:tab/>
      </w:r>
      <w:r w:rsidRPr="007655F9">
        <w:rPr>
          <w:color w:val="000000"/>
          <w:sz w:val="26"/>
          <w:szCs w:val="26"/>
        </w:rPr>
        <w:t>Noteikumi Nr. __</w:t>
      </w:r>
    </w:p>
    <w:p w:rsidR="00CB2B67" w:rsidRPr="007655F9" w:rsidRDefault="00FB4548" w:rsidP="00CB2B67">
      <w:pPr>
        <w:tabs>
          <w:tab w:val="right" w:pos="9000"/>
        </w:tabs>
        <w:rPr>
          <w:color w:val="000000"/>
          <w:sz w:val="26"/>
          <w:szCs w:val="26"/>
        </w:rPr>
      </w:pPr>
      <w:r w:rsidRPr="007655F9">
        <w:rPr>
          <w:color w:val="000000"/>
          <w:sz w:val="26"/>
          <w:szCs w:val="26"/>
        </w:rPr>
        <w:t>Rīgā</w:t>
      </w:r>
      <w:r w:rsidRPr="007655F9">
        <w:rPr>
          <w:color w:val="000000"/>
          <w:sz w:val="26"/>
          <w:szCs w:val="26"/>
        </w:rPr>
        <w:tab/>
        <w:t>(prot. Nr. __ __. §)</w:t>
      </w:r>
    </w:p>
    <w:p w:rsidR="00CB2B67" w:rsidRPr="007655F9" w:rsidRDefault="00CB2B67" w:rsidP="00CB2B67">
      <w:pPr>
        <w:ind w:right="-1"/>
        <w:jc w:val="center"/>
        <w:rPr>
          <w:sz w:val="26"/>
          <w:szCs w:val="26"/>
        </w:rPr>
      </w:pPr>
    </w:p>
    <w:p w:rsidR="00CB2B67" w:rsidRPr="007655F9" w:rsidRDefault="00FB4548" w:rsidP="00CB2B67">
      <w:pPr>
        <w:jc w:val="center"/>
        <w:rPr>
          <w:b/>
          <w:sz w:val="26"/>
          <w:szCs w:val="26"/>
        </w:rPr>
      </w:pPr>
      <w:r w:rsidRPr="007655F9">
        <w:rPr>
          <w:b/>
          <w:sz w:val="26"/>
          <w:szCs w:val="26"/>
        </w:rPr>
        <w:t>Grozījum</w:t>
      </w:r>
      <w:r w:rsidR="00816392" w:rsidRPr="007655F9">
        <w:rPr>
          <w:b/>
          <w:sz w:val="26"/>
          <w:szCs w:val="26"/>
        </w:rPr>
        <w:t>i</w:t>
      </w:r>
      <w:r w:rsidRPr="007655F9">
        <w:rPr>
          <w:b/>
          <w:sz w:val="26"/>
          <w:szCs w:val="26"/>
        </w:rPr>
        <w:t xml:space="preserve"> Ministru kabineta </w:t>
      </w:r>
      <w:r w:rsidR="00816392" w:rsidRPr="007655F9">
        <w:rPr>
          <w:b/>
          <w:sz w:val="26"/>
          <w:szCs w:val="26"/>
        </w:rPr>
        <w:t>2011</w:t>
      </w:r>
      <w:r w:rsidRPr="007655F9">
        <w:rPr>
          <w:b/>
          <w:sz w:val="26"/>
          <w:szCs w:val="26"/>
        </w:rPr>
        <w:t xml:space="preserve">. gada </w:t>
      </w:r>
      <w:r w:rsidR="00816392" w:rsidRPr="007655F9">
        <w:rPr>
          <w:b/>
          <w:sz w:val="26"/>
          <w:szCs w:val="26"/>
        </w:rPr>
        <w:t>19</w:t>
      </w:r>
      <w:r w:rsidRPr="007655F9">
        <w:rPr>
          <w:b/>
          <w:sz w:val="26"/>
          <w:szCs w:val="26"/>
        </w:rPr>
        <w:t>. </w:t>
      </w:r>
      <w:r w:rsidR="00816392" w:rsidRPr="007655F9">
        <w:rPr>
          <w:b/>
          <w:sz w:val="26"/>
          <w:szCs w:val="26"/>
        </w:rPr>
        <w:t>aprīļa</w:t>
      </w:r>
      <w:r w:rsidRPr="007655F9">
        <w:rPr>
          <w:b/>
          <w:sz w:val="26"/>
          <w:szCs w:val="26"/>
        </w:rPr>
        <w:t xml:space="preserve"> noteikumos Nr. </w:t>
      </w:r>
      <w:r w:rsidR="00816392" w:rsidRPr="007655F9">
        <w:rPr>
          <w:b/>
          <w:sz w:val="26"/>
          <w:szCs w:val="26"/>
        </w:rPr>
        <w:t xml:space="preserve">312 </w:t>
      </w:r>
      <w:r w:rsidRPr="007655F9">
        <w:rPr>
          <w:b/>
          <w:sz w:val="26"/>
          <w:szCs w:val="26"/>
        </w:rPr>
        <w:t>"</w:t>
      </w:r>
      <w:r w:rsidR="00816392" w:rsidRPr="007655F9">
        <w:rPr>
          <w:b/>
          <w:sz w:val="26"/>
          <w:szCs w:val="26"/>
        </w:rPr>
        <w:t>Enerģijas lietotāju apgādes un kurināmā pārdošanas kārtība izsludinātas enerģētiskās krīzes laikā un valsts apdraudējuma gadījumā</w:t>
      </w:r>
      <w:r w:rsidRPr="007655F9">
        <w:rPr>
          <w:b/>
          <w:sz w:val="26"/>
          <w:szCs w:val="26"/>
        </w:rPr>
        <w:t>"</w:t>
      </w:r>
    </w:p>
    <w:p w:rsidR="00CB2B67" w:rsidRPr="007655F9" w:rsidRDefault="00CB2B67" w:rsidP="00CB2B67">
      <w:pPr>
        <w:jc w:val="right"/>
        <w:rPr>
          <w:sz w:val="26"/>
          <w:szCs w:val="26"/>
        </w:rPr>
      </w:pPr>
    </w:p>
    <w:p w:rsidR="00270B95" w:rsidRPr="007655F9" w:rsidRDefault="00FB4548" w:rsidP="00270B95">
      <w:pPr>
        <w:ind w:firstLine="720"/>
        <w:jc w:val="right"/>
        <w:rPr>
          <w:bCs/>
          <w:i/>
          <w:iCs/>
          <w:sz w:val="26"/>
          <w:szCs w:val="26"/>
        </w:rPr>
      </w:pPr>
      <w:r w:rsidRPr="007655F9">
        <w:rPr>
          <w:bCs/>
          <w:i/>
          <w:iCs/>
          <w:sz w:val="26"/>
          <w:szCs w:val="26"/>
        </w:rPr>
        <w:t>Izdoti saskaņā ar Enerģētikas likuma 64.panta pirmo daļu un 73.pantu</w:t>
      </w:r>
    </w:p>
    <w:p w:rsidR="00BE34B5" w:rsidRPr="007655F9" w:rsidRDefault="00FB4548" w:rsidP="00270B95">
      <w:pPr>
        <w:ind w:firstLine="720"/>
        <w:jc w:val="right"/>
        <w:rPr>
          <w:bCs/>
          <w:i/>
          <w:iCs/>
          <w:sz w:val="26"/>
          <w:szCs w:val="26"/>
        </w:rPr>
      </w:pPr>
      <w:r w:rsidRPr="007655F9">
        <w:rPr>
          <w:bCs/>
          <w:i/>
          <w:iCs/>
          <w:sz w:val="26"/>
          <w:szCs w:val="26"/>
        </w:rPr>
        <w:t>un Mobilizācijas likuma 9.panta 7.punkta "a" apakšpunktu</w:t>
      </w:r>
    </w:p>
    <w:p w:rsidR="00270B95" w:rsidRPr="007655F9" w:rsidRDefault="00270B95" w:rsidP="00270B95">
      <w:pPr>
        <w:ind w:firstLine="720"/>
        <w:jc w:val="right"/>
        <w:rPr>
          <w:bCs/>
          <w:iCs/>
          <w:sz w:val="26"/>
          <w:szCs w:val="26"/>
        </w:rPr>
      </w:pPr>
    </w:p>
    <w:p w:rsidR="00270B95" w:rsidRPr="007655F9" w:rsidRDefault="00270B95" w:rsidP="00270B95">
      <w:pPr>
        <w:ind w:firstLine="720"/>
        <w:jc w:val="right"/>
        <w:rPr>
          <w:sz w:val="26"/>
          <w:szCs w:val="26"/>
        </w:rPr>
      </w:pPr>
    </w:p>
    <w:p w:rsidR="00221777" w:rsidRDefault="00FB4548" w:rsidP="00C47E2A">
      <w:pPr>
        <w:ind w:firstLine="709"/>
        <w:jc w:val="both"/>
        <w:rPr>
          <w:sz w:val="26"/>
          <w:szCs w:val="26"/>
        </w:rPr>
      </w:pPr>
      <w:r w:rsidRPr="005B495B">
        <w:rPr>
          <w:sz w:val="26"/>
          <w:szCs w:val="26"/>
        </w:rPr>
        <w:t xml:space="preserve">Izdarīt Ministru kabineta </w:t>
      </w:r>
      <w:r w:rsidR="00816392" w:rsidRPr="005B495B">
        <w:rPr>
          <w:sz w:val="26"/>
          <w:szCs w:val="26"/>
        </w:rPr>
        <w:t xml:space="preserve">2011. gada 19. aprīļa noteikumos Nr. 312 </w:t>
      </w:r>
      <w:r w:rsidR="00B0264C" w:rsidRPr="005B495B">
        <w:rPr>
          <w:sz w:val="26"/>
          <w:szCs w:val="26"/>
        </w:rPr>
        <w:t>”</w:t>
      </w:r>
      <w:r w:rsidR="00816392" w:rsidRPr="005B495B">
        <w:rPr>
          <w:sz w:val="26"/>
          <w:szCs w:val="26"/>
        </w:rPr>
        <w:t>Enerģijas lietotāju apgādes un kurināmā pārdošanas kārtība izsludinātas enerģētiskās krīzes laikā un valsts apdraudējuma gadījumā"</w:t>
      </w:r>
      <w:r w:rsidRPr="005B495B">
        <w:rPr>
          <w:sz w:val="26"/>
          <w:szCs w:val="26"/>
        </w:rPr>
        <w:t xml:space="preserve"> (Latvijas Vēstnesis</w:t>
      </w:r>
      <w:r w:rsidR="00F06813" w:rsidRPr="005B495B">
        <w:rPr>
          <w:sz w:val="26"/>
          <w:szCs w:val="26"/>
        </w:rPr>
        <w:t>, 2011, 69. nr.; 2013, 37., 179. nr.; 2016, 164. nr.; 2017, 70. nr.</w:t>
      </w:r>
      <w:r w:rsidR="00CB2B67" w:rsidRPr="005B495B">
        <w:rPr>
          <w:sz w:val="26"/>
          <w:szCs w:val="26"/>
        </w:rPr>
        <w:t xml:space="preserve">) </w:t>
      </w:r>
      <w:r w:rsidR="00021ADF">
        <w:rPr>
          <w:sz w:val="26"/>
          <w:szCs w:val="26"/>
        </w:rPr>
        <w:t xml:space="preserve">šādus </w:t>
      </w:r>
      <w:r w:rsidRPr="005B495B">
        <w:rPr>
          <w:sz w:val="26"/>
          <w:szCs w:val="26"/>
        </w:rPr>
        <w:t>grozījumu</w:t>
      </w:r>
      <w:r w:rsidR="00BF7322">
        <w:rPr>
          <w:sz w:val="26"/>
          <w:szCs w:val="26"/>
        </w:rPr>
        <w:t>s</w:t>
      </w:r>
      <w:r w:rsidR="00021ADF">
        <w:rPr>
          <w:sz w:val="26"/>
          <w:szCs w:val="26"/>
        </w:rPr>
        <w:t>:</w:t>
      </w:r>
    </w:p>
    <w:p w:rsidR="00021ADF" w:rsidRDefault="00021ADF" w:rsidP="00C47E2A">
      <w:pPr>
        <w:ind w:firstLine="709"/>
        <w:jc w:val="both"/>
        <w:rPr>
          <w:sz w:val="26"/>
          <w:szCs w:val="26"/>
        </w:rPr>
      </w:pPr>
    </w:p>
    <w:p w:rsidR="00021ADF" w:rsidRPr="00021ADF" w:rsidRDefault="00FB4548" w:rsidP="00021ADF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21ADF">
        <w:rPr>
          <w:sz w:val="26"/>
          <w:szCs w:val="26"/>
        </w:rPr>
        <w:t>papildināt noteiku</w:t>
      </w:r>
      <w:r w:rsidRPr="00021ADF">
        <w:rPr>
          <w:sz w:val="26"/>
          <w:szCs w:val="26"/>
        </w:rPr>
        <w:t>mu IV nodaļu “Dabasgāzes un elektroenerģijas apgāde” ar 12.</w:t>
      </w:r>
      <w:r w:rsidRPr="00021ADF">
        <w:rPr>
          <w:sz w:val="26"/>
          <w:szCs w:val="26"/>
          <w:vertAlign w:val="superscript"/>
        </w:rPr>
        <w:t>1</w:t>
      </w:r>
      <w:r w:rsidRPr="00021ADF">
        <w:rPr>
          <w:sz w:val="26"/>
          <w:szCs w:val="26"/>
        </w:rPr>
        <w:t>, 12.</w:t>
      </w:r>
      <w:r w:rsidRPr="00021ADF">
        <w:rPr>
          <w:sz w:val="26"/>
          <w:szCs w:val="26"/>
          <w:vertAlign w:val="superscript"/>
        </w:rPr>
        <w:t>2</w:t>
      </w:r>
      <w:r w:rsidRPr="00021ADF">
        <w:rPr>
          <w:sz w:val="26"/>
          <w:szCs w:val="26"/>
        </w:rPr>
        <w:t xml:space="preserve"> un 12.</w:t>
      </w:r>
      <w:r w:rsidRPr="00021ADF">
        <w:rPr>
          <w:sz w:val="26"/>
          <w:szCs w:val="26"/>
          <w:vertAlign w:val="superscript"/>
        </w:rPr>
        <w:t xml:space="preserve">3 </w:t>
      </w:r>
      <w:r w:rsidRPr="00021ADF">
        <w:rPr>
          <w:sz w:val="26"/>
          <w:szCs w:val="26"/>
        </w:rPr>
        <w:t xml:space="preserve"> punktu</w:t>
      </w:r>
      <w:r>
        <w:rPr>
          <w:sz w:val="26"/>
          <w:szCs w:val="26"/>
        </w:rPr>
        <w:t>:</w:t>
      </w:r>
    </w:p>
    <w:p w:rsidR="00816392" w:rsidRPr="005B495B" w:rsidRDefault="00FB4548" w:rsidP="00270B95">
      <w:pPr>
        <w:ind w:firstLine="720"/>
        <w:jc w:val="both"/>
        <w:rPr>
          <w:iCs/>
          <w:color w:val="212121"/>
          <w:sz w:val="26"/>
          <w:szCs w:val="26"/>
          <w:shd w:val="clear" w:color="auto" w:fill="FFFFFF"/>
        </w:rPr>
      </w:pPr>
      <w:r w:rsidRPr="005B495B">
        <w:rPr>
          <w:iCs/>
          <w:color w:val="212121"/>
          <w:sz w:val="26"/>
          <w:szCs w:val="26"/>
          <w:shd w:val="clear" w:color="auto" w:fill="FFFFFF"/>
        </w:rPr>
        <w:t>“</w:t>
      </w:r>
      <w:r w:rsidR="00042327" w:rsidRPr="005B495B">
        <w:rPr>
          <w:iCs/>
          <w:color w:val="212121"/>
          <w:sz w:val="26"/>
          <w:szCs w:val="26"/>
          <w:shd w:val="clear" w:color="auto" w:fill="FFFFFF"/>
        </w:rPr>
        <w:t>12.</w:t>
      </w:r>
      <w:r w:rsidR="00042327" w:rsidRPr="005B495B">
        <w:rPr>
          <w:iCs/>
          <w:color w:val="212121"/>
          <w:sz w:val="26"/>
          <w:szCs w:val="26"/>
          <w:shd w:val="clear" w:color="auto" w:fill="FFFFFF"/>
          <w:vertAlign w:val="superscript"/>
        </w:rPr>
        <w:t>1</w:t>
      </w:r>
      <w:r w:rsidR="0053394C" w:rsidRPr="005B495B">
        <w:rPr>
          <w:iCs/>
          <w:color w:val="212121"/>
          <w:sz w:val="26"/>
          <w:szCs w:val="26"/>
          <w:shd w:val="clear" w:color="auto" w:fill="FFFFFF"/>
          <w:vertAlign w:val="superscript"/>
        </w:rPr>
        <w:t xml:space="preserve"> </w:t>
      </w:r>
      <w:r w:rsidR="000A002D" w:rsidRPr="005B495B">
        <w:rPr>
          <w:sz w:val="26"/>
          <w:szCs w:val="26"/>
        </w:rPr>
        <w:t>Lai enerģētikās krīzes laikā</w:t>
      </w:r>
      <w:r w:rsidR="000A002D" w:rsidRPr="005B495B">
        <w:rPr>
          <w:iCs/>
          <w:color w:val="212121"/>
          <w:sz w:val="26"/>
          <w:szCs w:val="26"/>
          <w:shd w:val="clear" w:color="auto" w:fill="FFFFFF"/>
        </w:rPr>
        <w:t xml:space="preserve"> </w:t>
      </w:r>
      <w:r w:rsidR="000A002D" w:rsidRPr="005B495B">
        <w:rPr>
          <w:sz w:val="26"/>
          <w:szCs w:val="26"/>
        </w:rPr>
        <w:t xml:space="preserve">nodrošinātu nepieciešamo dabasgāzes izņemšanas jaudu no </w:t>
      </w:r>
      <w:r w:rsidR="00B03723" w:rsidRPr="005B495B">
        <w:rPr>
          <w:iCs/>
          <w:color w:val="212121"/>
          <w:sz w:val="26"/>
          <w:szCs w:val="26"/>
          <w:shd w:val="clear" w:color="auto" w:fill="FFFFFF"/>
        </w:rPr>
        <w:t xml:space="preserve">Inčukalna pazemes gāzes </w:t>
      </w:r>
      <w:r w:rsidR="000A002D" w:rsidRPr="005B495B">
        <w:rPr>
          <w:sz w:val="26"/>
          <w:szCs w:val="26"/>
        </w:rPr>
        <w:t xml:space="preserve">krātuves diennaktī, </w:t>
      </w:r>
      <w:r w:rsidR="0053394C" w:rsidRPr="005B495B">
        <w:rPr>
          <w:iCs/>
          <w:color w:val="212121"/>
          <w:sz w:val="26"/>
          <w:szCs w:val="26"/>
          <w:shd w:val="clear" w:color="auto" w:fill="FFFFFF"/>
        </w:rPr>
        <w:t xml:space="preserve">vienotā dabasgāzes </w:t>
      </w:r>
      <w:r w:rsidR="00042327" w:rsidRPr="005B495B">
        <w:rPr>
          <w:iCs/>
          <w:color w:val="212121"/>
          <w:sz w:val="26"/>
          <w:szCs w:val="26"/>
          <w:shd w:val="clear" w:color="auto" w:fill="FFFFFF"/>
        </w:rPr>
        <w:t>p</w:t>
      </w:r>
      <w:r w:rsidRPr="005B495B">
        <w:rPr>
          <w:iCs/>
          <w:color w:val="212121"/>
          <w:sz w:val="26"/>
          <w:szCs w:val="26"/>
          <w:shd w:val="clear" w:color="auto" w:fill="FFFFFF"/>
        </w:rPr>
        <w:t>ārvades</w:t>
      </w:r>
      <w:r w:rsidR="0053394C" w:rsidRPr="005B495B">
        <w:rPr>
          <w:iCs/>
          <w:color w:val="212121"/>
          <w:sz w:val="26"/>
          <w:szCs w:val="26"/>
          <w:shd w:val="clear" w:color="auto" w:fill="FFFFFF"/>
        </w:rPr>
        <w:t xml:space="preserve"> un uzglabāšanas</w:t>
      </w:r>
      <w:r w:rsidRPr="005B495B">
        <w:rPr>
          <w:iCs/>
          <w:color w:val="212121"/>
          <w:sz w:val="26"/>
          <w:szCs w:val="26"/>
          <w:shd w:val="clear" w:color="auto" w:fill="FFFFFF"/>
        </w:rPr>
        <w:t xml:space="preserve"> sistēmas </w:t>
      </w:r>
      <w:r w:rsidR="0053394C" w:rsidRPr="005B495B">
        <w:rPr>
          <w:iCs/>
          <w:color w:val="212121"/>
          <w:sz w:val="26"/>
          <w:szCs w:val="26"/>
          <w:shd w:val="clear" w:color="auto" w:fill="FFFFFF"/>
        </w:rPr>
        <w:t xml:space="preserve">operatora pienākums </w:t>
      </w:r>
      <w:r w:rsidRPr="005B495B">
        <w:rPr>
          <w:iCs/>
          <w:color w:val="212121"/>
          <w:sz w:val="26"/>
          <w:szCs w:val="26"/>
          <w:shd w:val="clear" w:color="auto" w:fill="FFFFFF"/>
        </w:rPr>
        <w:t xml:space="preserve">ir nodrošināt, ka laika periodā no konkrētā krātuves cikla </w:t>
      </w:r>
      <w:r w:rsidR="00B0264C" w:rsidRPr="005B495B">
        <w:rPr>
          <w:iCs/>
          <w:color w:val="212121"/>
          <w:sz w:val="26"/>
          <w:szCs w:val="26"/>
          <w:shd w:val="clear" w:color="auto" w:fill="FFFFFF"/>
        </w:rPr>
        <w:t>dabas</w:t>
      </w:r>
      <w:r w:rsidRPr="005B495B">
        <w:rPr>
          <w:iCs/>
          <w:color w:val="212121"/>
          <w:sz w:val="26"/>
          <w:szCs w:val="26"/>
          <w:shd w:val="clear" w:color="auto" w:fill="FFFFFF"/>
        </w:rPr>
        <w:t xml:space="preserve">gāzes iesūknēšanas sezonas beigām līdz nākošā kalendārā gada </w:t>
      </w:r>
      <w:r w:rsidR="0002632C" w:rsidRPr="005B495B">
        <w:rPr>
          <w:iCs/>
          <w:color w:val="212121"/>
          <w:sz w:val="26"/>
          <w:szCs w:val="26"/>
          <w:shd w:val="clear" w:color="auto" w:fill="FFFFFF"/>
        </w:rPr>
        <w:t>1. martam</w:t>
      </w:r>
      <w:r w:rsidRPr="005B495B">
        <w:rPr>
          <w:iCs/>
          <w:color w:val="212121"/>
          <w:sz w:val="26"/>
          <w:szCs w:val="26"/>
          <w:shd w:val="clear" w:color="auto" w:fill="FFFFFF"/>
        </w:rPr>
        <w:t xml:space="preserve"> Inčukalna pazemes gāzes krātuvē atrodas </w:t>
      </w:r>
      <w:r w:rsidR="000A002D" w:rsidRPr="005B495B">
        <w:rPr>
          <w:iCs/>
          <w:color w:val="212121"/>
          <w:sz w:val="26"/>
          <w:szCs w:val="26"/>
          <w:shd w:val="clear" w:color="auto" w:fill="FFFFFF"/>
        </w:rPr>
        <w:t xml:space="preserve">aktīvās </w:t>
      </w:r>
      <w:r w:rsidRPr="005B495B">
        <w:rPr>
          <w:iCs/>
          <w:color w:val="212121"/>
          <w:sz w:val="26"/>
          <w:szCs w:val="26"/>
          <w:shd w:val="clear" w:color="auto" w:fill="FFFFFF"/>
        </w:rPr>
        <w:t xml:space="preserve">dabasgāzes </w:t>
      </w:r>
      <w:r w:rsidR="000A002D" w:rsidRPr="005B495B">
        <w:rPr>
          <w:iCs/>
          <w:color w:val="212121"/>
          <w:sz w:val="26"/>
          <w:szCs w:val="26"/>
          <w:shd w:val="clear" w:color="auto" w:fill="FFFFFF"/>
        </w:rPr>
        <w:t>daudzums</w:t>
      </w:r>
      <w:r w:rsidRPr="005B495B">
        <w:rPr>
          <w:iCs/>
          <w:color w:val="212121"/>
          <w:sz w:val="26"/>
          <w:szCs w:val="26"/>
          <w:shd w:val="clear" w:color="auto" w:fill="FFFFFF"/>
        </w:rPr>
        <w:t xml:space="preserve">, kas nav mazāks par </w:t>
      </w:r>
      <w:r w:rsidR="000F440B" w:rsidRPr="005B495B">
        <w:rPr>
          <w:iCs/>
          <w:color w:val="212121"/>
          <w:sz w:val="26"/>
          <w:szCs w:val="26"/>
          <w:shd w:val="clear" w:color="auto" w:fill="FFFFFF"/>
        </w:rPr>
        <w:t xml:space="preserve">3160 tūkst. </w:t>
      </w:r>
      <w:proofErr w:type="spellStart"/>
      <w:r w:rsidR="000F440B" w:rsidRPr="005B495B">
        <w:rPr>
          <w:iCs/>
          <w:color w:val="212121"/>
          <w:sz w:val="26"/>
          <w:szCs w:val="26"/>
          <w:shd w:val="clear" w:color="auto" w:fill="FFFFFF"/>
        </w:rPr>
        <w:t>MWh</w:t>
      </w:r>
      <w:proofErr w:type="spellEnd"/>
      <w:r w:rsidR="000F440B" w:rsidRPr="005B495B">
        <w:rPr>
          <w:iCs/>
          <w:color w:val="212121"/>
          <w:sz w:val="26"/>
          <w:szCs w:val="26"/>
          <w:shd w:val="clear" w:color="auto" w:fill="FFFFFF"/>
        </w:rPr>
        <w:t xml:space="preserve"> (</w:t>
      </w:r>
      <w:r w:rsidRPr="005B495B">
        <w:rPr>
          <w:iCs/>
          <w:color w:val="212121"/>
          <w:sz w:val="26"/>
          <w:szCs w:val="26"/>
          <w:shd w:val="clear" w:color="auto" w:fill="FFFFFF"/>
        </w:rPr>
        <w:t>300 milj.m</w:t>
      </w:r>
      <w:r w:rsidRPr="005B495B">
        <w:rPr>
          <w:iCs/>
          <w:color w:val="212121"/>
          <w:sz w:val="26"/>
          <w:szCs w:val="26"/>
          <w:shd w:val="clear" w:color="auto" w:fill="FFFFFF"/>
          <w:vertAlign w:val="superscript"/>
        </w:rPr>
        <w:t>3</w:t>
      </w:r>
      <w:r w:rsidR="000F440B" w:rsidRPr="005B495B">
        <w:rPr>
          <w:rFonts w:eastAsia="Calibri"/>
          <w:sz w:val="26"/>
          <w:szCs w:val="26"/>
        </w:rPr>
        <w:t>)</w:t>
      </w:r>
      <w:r w:rsidR="00B21289" w:rsidRPr="005B495B">
        <w:rPr>
          <w:iCs/>
          <w:color w:val="212121"/>
          <w:sz w:val="26"/>
          <w:szCs w:val="26"/>
          <w:shd w:val="clear" w:color="auto" w:fill="FFFFFF"/>
        </w:rPr>
        <w:t xml:space="preserve"> </w:t>
      </w:r>
      <w:r w:rsidRPr="005B495B">
        <w:rPr>
          <w:iCs/>
          <w:color w:val="212121"/>
          <w:sz w:val="26"/>
          <w:szCs w:val="26"/>
          <w:shd w:val="clear" w:color="auto" w:fill="FFFFFF"/>
        </w:rPr>
        <w:t xml:space="preserve">un ir paredzēts Latvijas </w:t>
      </w:r>
      <w:r w:rsidR="00D83EA7" w:rsidRPr="005B495B">
        <w:rPr>
          <w:iCs/>
          <w:color w:val="212121"/>
          <w:sz w:val="26"/>
          <w:szCs w:val="26"/>
          <w:shd w:val="clear" w:color="auto" w:fill="FFFFFF"/>
        </w:rPr>
        <w:t>dabas</w:t>
      </w:r>
      <w:r w:rsidRPr="005B495B">
        <w:rPr>
          <w:iCs/>
          <w:color w:val="212121"/>
          <w:sz w:val="26"/>
          <w:szCs w:val="26"/>
          <w:shd w:val="clear" w:color="auto" w:fill="FFFFFF"/>
        </w:rPr>
        <w:t xml:space="preserve">gāzes </w:t>
      </w:r>
      <w:r w:rsidR="0002632C" w:rsidRPr="005B495B">
        <w:rPr>
          <w:iCs/>
          <w:color w:val="212121"/>
          <w:sz w:val="26"/>
          <w:szCs w:val="26"/>
          <w:shd w:val="clear" w:color="auto" w:fill="FFFFFF"/>
        </w:rPr>
        <w:t xml:space="preserve">apgādes </w:t>
      </w:r>
      <w:r w:rsidRPr="005B495B">
        <w:rPr>
          <w:iCs/>
          <w:color w:val="212121"/>
          <w:sz w:val="26"/>
          <w:szCs w:val="26"/>
          <w:shd w:val="clear" w:color="auto" w:fill="FFFFFF"/>
        </w:rPr>
        <w:t>nodrošināšanai</w:t>
      </w:r>
      <w:r w:rsidR="00890DC5" w:rsidRPr="005B495B">
        <w:rPr>
          <w:sz w:val="26"/>
          <w:szCs w:val="26"/>
        </w:rPr>
        <w:t>.</w:t>
      </w:r>
      <w:r w:rsidRPr="005B495B">
        <w:rPr>
          <w:iCs/>
          <w:color w:val="212121"/>
          <w:sz w:val="26"/>
          <w:szCs w:val="26"/>
          <w:shd w:val="clear" w:color="auto" w:fill="FFFFFF"/>
        </w:rPr>
        <w:t>”</w:t>
      </w:r>
    </w:p>
    <w:p w:rsidR="008B5AF0" w:rsidRPr="005B495B" w:rsidRDefault="00FB4548" w:rsidP="007655F9">
      <w:pPr>
        <w:ind w:firstLine="709"/>
        <w:jc w:val="both"/>
        <w:rPr>
          <w:iCs/>
          <w:sz w:val="26"/>
          <w:szCs w:val="26"/>
        </w:rPr>
      </w:pPr>
      <w:r w:rsidRPr="005B495B">
        <w:rPr>
          <w:sz w:val="26"/>
          <w:szCs w:val="26"/>
        </w:rPr>
        <w:t>12.</w:t>
      </w:r>
      <w:r w:rsidRPr="005B495B">
        <w:rPr>
          <w:sz w:val="26"/>
          <w:szCs w:val="26"/>
          <w:vertAlign w:val="superscript"/>
        </w:rPr>
        <w:t>2</w:t>
      </w:r>
      <w:r w:rsidR="006B399A" w:rsidRPr="005B495B">
        <w:rPr>
          <w:sz w:val="26"/>
          <w:szCs w:val="26"/>
          <w:vertAlign w:val="superscript"/>
        </w:rPr>
        <w:t xml:space="preserve"> </w:t>
      </w:r>
      <w:r w:rsidR="00AF3B61" w:rsidRPr="005B495B">
        <w:rPr>
          <w:iCs/>
          <w:sz w:val="26"/>
          <w:szCs w:val="26"/>
        </w:rPr>
        <w:t>N</w:t>
      </w:r>
      <w:r w:rsidRPr="005B495B">
        <w:rPr>
          <w:iCs/>
          <w:sz w:val="26"/>
          <w:szCs w:val="26"/>
        </w:rPr>
        <w:t xml:space="preserve">epieciešamās </w:t>
      </w:r>
      <w:r w:rsidR="006B399A" w:rsidRPr="005B495B">
        <w:rPr>
          <w:sz w:val="26"/>
          <w:szCs w:val="26"/>
        </w:rPr>
        <w:t>tehnoloģiski un ekonomiski pamatotās izmaksas</w:t>
      </w:r>
      <w:r w:rsidR="00AF3B61" w:rsidRPr="005B495B">
        <w:rPr>
          <w:sz w:val="26"/>
          <w:szCs w:val="26"/>
        </w:rPr>
        <w:t xml:space="preserve">, kas saistītas ar šo noteikumu </w:t>
      </w:r>
      <w:r w:rsidRPr="005B495B">
        <w:rPr>
          <w:sz w:val="26"/>
          <w:szCs w:val="26"/>
        </w:rPr>
        <w:t>12.</w:t>
      </w:r>
      <w:r w:rsidRPr="005B495B">
        <w:rPr>
          <w:sz w:val="26"/>
          <w:szCs w:val="26"/>
          <w:vertAlign w:val="superscript"/>
        </w:rPr>
        <w:t xml:space="preserve">1 </w:t>
      </w:r>
      <w:r w:rsidR="00AF3B61" w:rsidRPr="005B495B">
        <w:rPr>
          <w:sz w:val="26"/>
          <w:szCs w:val="26"/>
        </w:rPr>
        <w:t xml:space="preserve">punktā noteikto pienākumu izpildi, </w:t>
      </w:r>
      <w:r w:rsidR="000A002D" w:rsidRPr="005B495B">
        <w:rPr>
          <w:sz w:val="26"/>
          <w:szCs w:val="26"/>
        </w:rPr>
        <w:t xml:space="preserve">vienotais dabasgāzes </w:t>
      </w:r>
      <w:r w:rsidRPr="005B495B">
        <w:rPr>
          <w:sz w:val="26"/>
          <w:szCs w:val="26"/>
        </w:rPr>
        <w:t>pārvades</w:t>
      </w:r>
      <w:r w:rsidRPr="005B495B">
        <w:rPr>
          <w:iCs/>
          <w:sz w:val="26"/>
          <w:szCs w:val="26"/>
        </w:rPr>
        <w:t xml:space="preserve"> </w:t>
      </w:r>
      <w:r w:rsidR="000A002D" w:rsidRPr="005B495B">
        <w:rPr>
          <w:iCs/>
          <w:sz w:val="26"/>
          <w:szCs w:val="26"/>
        </w:rPr>
        <w:t xml:space="preserve">un uzglabāšanas </w:t>
      </w:r>
      <w:r w:rsidRPr="005B495B">
        <w:rPr>
          <w:iCs/>
          <w:sz w:val="26"/>
          <w:szCs w:val="26"/>
        </w:rPr>
        <w:t>sistēmas operators ietver dabasgāzes pārvades sistēmas attiecināmajās izmaksās.</w:t>
      </w:r>
    </w:p>
    <w:p w:rsidR="00AD63C2" w:rsidRDefault="00FB4548" w:rsidP="007655F9">
      <w:pPr>
        <w:ind w:firstLine="709"/>
        <w:jc w:val="both"/>
        <w:rPr>
          <w:iCs/>
          <w:sz w:val="26"/>
          <w:szCs w:val="26"/>
        </w:rPr>
      </w:pPr>
      <w:r w:rsidRPr="005B495B">
        <w:rPr>
          <w:iCs/>
          <w:sz w:val="26"/>
          <w:szCs w:val="26"/>
        </w:rPr>
        <w:t>12.</w:t>
      </w:r>
      <w:r w:rsidRPr="005B495B">
        <w:rPr>
          <w:sz w:val="26"/>
          <w:szCs w:val="26"/>
          <w:vertAlign w:val="superscript"/>
        </w:rPr>
        <w:t>3</w:t>
      </w:r>
      <w:r w:rsidRPr="005B495B">
        <w:rPr>
          <w:iCs/>
          <w:sz w:val="26"/>
          <w:szCs w:val="26"/>
        </w:rPr>
        <w:t xml:space="preserve"> Noteikumu </w:t>
      </w:r>
      <w:r w:rsidRPr="005B495B">
        <w:rPr>
          <w:iCs/>
          <w:color w:val="212121"/>
          <w:sz w:val="26"/>
          <w:szCs w:val="26"/>
          <w:shd w:val="clear" w:color="auto" w:fill="FFFFFF"/>
        </w:rPr>
        <w:t>12.</w:t>
      </w:r>
      <w:r w:rsidRPr="005B495B">
        <w:rPr>
          <w:iCs/>
          <w:color w:val="212121"/>
          <w:sz w:val="26"/>
          <w:szCs w:val="26"/>
          <w:shd w:val="clear" w:color="auto" w:fill="FFFFFF"/>
          <w:vertAlign w:val="superscript"/>
        </w:rPr>
        <w:t>1</w:t>
      </w:r>
      <w:r w:rsidRPr="005B495B">
        <w:rPr>
          <w:iCs/>
          <w:sz w:val="26"/>
          <w:szCs w:val="26"/>
        </w:rPr>
        <w:t xml:space="preserve"> punktā minētā apjoma nodrošināšanas modeli vienotais dabasgāzes pārvades un uzglabāšanas sistēmas operators sa</w:t>
      </w:r>
      <w:r w:rsidRPr="005B495B">
        <w:rPr>
          <w:iCs/>
          <w:sz w:val="26"/>
          <w:szCs w:val="26"/>
        </w:rPr>
        <w:t>skaņo ar Ekonomikas ministriju un Sabiedrisko pakalpojumu regulēšanas komisiju pirms kārtējā gada izsoles sākuma.</w:t>
      </w:r>
      <w:r w:rsidR="00021ADF">
        <w:rPr>
          <w:iCs/>
          <w:sz w:val="26"/>
          <w:szCs w:val="26"/>
        </w:rPr>
        <w:t>”</w:t>
      </w:r>
    </w:p>
    <w:p w:rsidR="00021ADF" w:rsidRPr="005B495B" w:rsidRDefault="00021ADF" w:rsidP="007655F9">
      <w:pPr>
        <w:ind w:firstLine="709"/>
        <w:jc w:val="both"/>
        <w:rPr>
          <w:iCs/>
          <w:sz w:val="26"/>
          <w:szCs w:val="26"/>
        </w:rPr>
      </w:pPr>
    </w:p>
    <w:p w:rsidR="00021ADF" w:rsidRPr="00B80E51" w:rsidRDefault="00FB4548" w:rsidP="00B80E51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Izteikt </w:t>
      </w:r>
      <w:r w:rsidR="002D51F3">
        <w:rPr>
          <w:sz w:val="26"/>
          <w:szCs w:val="26"/>
        </w:rPr>
        <w:t xml:space="preserve">noteikumu </w:t>
      </w:r>
      <w:r w:rsidRPr="00B80E51">
        <w:rPr>
          <w:sz w:val="26"/>
          <w:szCs w:val="26"/>
        </w:rPr>
        <w:t>34.</w:t>
      </w:r>
      <w:r w:rsidRPr="00B80E51"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 punktu</w:t>
      </w:r>
      <w:r w:rsidRPr="00B80E51">
        <w:rPr>
          <w:sz w:val="26"/>
          <w:szCs w:val="26"/>
        </w:rPr>
        <w:t xml:space="preserve"> šādā redakcijā:</w:t>
      </w:r>
    </w:p>
    <w:p w:rsidR="00021ADF" w:rsidRPr="005B495B" w:rsidRDefault="00FB4548" w:rsidP="00021ADF">
      <w:pPr>
        <w:ind w:firstLine="709"/>
        <w:jc w:val="both"/>
        <w:rPr>
          <w:sz w:val="26"/>
          <w:szCs w:val="26"/>
        </w:rPr>
      </w:pPr>
      <w:r w:rsidRPr="005B495B">
        <w:rPr>
          <w:sz w:val="26"/>
          <w:szCs w:val="26"/>
        </w:rPr>
        <w:t>“34.</w:t>
      </w:r>
      <w:r w:rsidRPr="005B495B">
        <w:rPr>
          <w:sz w:val="26"/>
          <w:szCs w:val="26"/>
          <w:vertAlign w:val="superscript"/>
        </w:rPr>
        <w:t>1</w:t>
      </w:r>
      <w:r w:rsidRPr="005B495B">
        <w:rPr>
          <w:sz w:val="26"/>
          <w:szCs w:val="26"/>
        </w:rPr>
        <w:t xml:space="preserve"> Enerģētiskās krīzes laikā, ja traucēta dabasgāzes piegāde, dabasgāzi no dabasgāzes drošības rezerves (turpmāk – rezerve), kas nodrošināta piegādes standarta apjomā, ievērojot Eiropas Parlamenta un Padomes regulu (ES) 2017/1938 (2017. gada 25. oktobris) pa</w:t>
      </w:r>
      <w:r w:rsidRPr="005B495B">
        <w:rPr>
          <w:sz w:val="26"/>
          <w:szCs w:val="26"/>
        </w:rPr>
        <w:t>r gāzes piegādes drošības aizsardzības pasākumiem un ar ko atceļ Regulu (ES) Nr. 994/2010 spēkā stāšanos, pārvades sistēmas operators izmanto nodrošināmo lietotāju apgādei.”</w:t>
      </w:r>
    </w:p>
    <w:p w:rsidR="00AD63C2" w:rsidRDefault="00AD63C2" w:rsidP="007655F9">
      <w:pPr>
        <w:ind w:firstLine="709"/>
        <w:jc w:val="both"/>
        <w:rPr>
          <w:iCs/>
          <w:sz w:val="26"/>
          <w:szCs w:val="26"/>
        </w:rPr>
      </w:pPr>
    </w:p>
    <w:p w:rsidR="00021ADF" w:rsidRPr="00B80E51" w:rsidRDefault="00FB4548" w:rsidP="00B80E51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iCs/>
          <w:sz w:val="26"/>
          <w:szCs w:val="26"/>
        </w:rPr>
      </w:pPr>
      <w:r w:rsidRPr="00B80E51">
        <w:rPr>
          <w:iCs/>
          <w:sz w:val="26"/>
          <w:szCs w:val="26"/>
        </w:rPr>
        <w:t>Papildināt noteikumu</w:t>
      </w:r>
      <w:r w:rsidR="002D51F3">
        <w:rPr>
          <w:iCs/>
          <w:sz w:val="26"/>
          <w:szCs w:val="26"/>
        </w:rPr>
        <w:t>s</w:t>
      </w:r>
      <w:r w:rsidRPr="00B80E51">
        <w:rPr>
          <w:iCs/>
          <w:sz w:val="26"/>
          <w:szCs w:val="26"/>
        </w:rPr>
        <w:t xml:space="preserve"> ar 38. punktu šādā redakcijā:</w:t>
      </w:r>
    </w:p>
    <w:p w:rsidR="00CB2B67" w:rsidRPr="005B495B" w:rsidRDefault="00FB4548" w:rsidP="00AD63C2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lastRenderedPageBreak/>
        <w:t>“</w:t>
      </w:r>
      <w:r w:rsidR="00AD63C2" w:rsidRPr="005B495B">
        <w:rPr>
          <w:iCs/>
          <w:sz w:val="26"/>
          <w:szCs w:val="26"/>
        </w:rPr>
        <w:t xml:space="preserve">38. Noteikumu </w:t>
      </w:r>
      <w:r w:rsidR="00AD63C2" w:rsidRPr="005B495B">
        <w:rPr>
          <w:iCs/>
          <w:color w:val="212121"/>
          <w:sz w:val="26"/>
          <w:szCs w:val="26"/>
          <w:shd w:val="clear" w:color="auto" w:fill="FFFFFF"/>
        </w:rPr>
        <w:t>12.</w:t>
      </w:r>
      <w:r w:rsidR="00AD63C2" w:rsidRPr="005B495B">
        <w:rPr>
          <w:iCs/>
          <w:color w:val="212121"/>
          <w:sz w:val="26"/>
          <w:szCs w:val="26"/>
          <w:shd w:val="clear" w:color="auto" w:fill="FFFFFF"/>
          <w:vertAlign w:val="superscript"/>
        </w:rPr>
        <w:t>1</w:t>
      </w:r>
      <w:r w:rsidR="00AD63C2" w:rsidRPr="005B495B">
        <w:rPr>
          <w:sz w:val="26"/>
          <w:szCs w:val="26"/>
        </w:rPr>
        <w:t>,12.</w:t>
      </w:r>
      <w:r w:rsidR="00AD63C2" w:rsidRPr="005B495B">
        <w:rPr>
          <w:sz w:val="26"/>
          <w:szCs w:val="26"/>
          <w:vertAlign w:val="superscript"/>
        </w:rPr>
        <w:t xml:space="preserve">2  </w:t>
      </w:r>
      <w:r w:rsidR="00AD63C2" w:rsidRPr="005B495B">
        <w:rPr>
          <w:iCs/>
          <w:sz w:val="26"/>
          <w:szCs w:val="26"/>
        </w:rPr>
        <w:t>un 12.</w:t>
      </w:r>
      <w:r w:rsidR="00AD63C2" w:rsidRPr="005B495B">
        <w:rPr>
          <w:sz w:val="26"/>
          <w:szCs w:val="26"/>
          <w:vertAlign w:val="superscript"/>
        </w:rPr>
        <w:t>3</w:t>
      </w:r>
      <w:r w:rsidR="00AD63C2" w:rsidRPr="005B495B">
        <w:rPr>
          <w:iCs/>
          <w:sz w:val="26"/>
          <w:szCs w:val="26"/>
        </w:rPr>
        <w:t xml:space="preserve"> punkti ir s</w:t>
      </w:r>
      <w:r>
        <w:rPr>
          <w:iCs/>
          <w:sz w:val="26"/>
          <w:szCs w:val="26"/>
        </w:rPr>
        <w:t>pēkā līdz 2022. gada 1. martam.”</w:t>
      </w:r>
    </w:p>
    <w:p w:rsidR="00076FBD" w:rsidRPr="005B495B" w:rsidRDefault="00076FBD" w:rsidP="00CB2B67">
      <w:pPr>
        <w:jc w:val="both"/>
        <w:rPr>
          <w:sz w:val="26"/>
          <w:szCs w:val="26"/>
        </w:rPr>
      </w:pPr>
    </w:p>
    <w:p w:rsidR="00AD63C2" w:rsidRPr="005B495B" w:rsidRDefault="00AD63C2" w:rsidP="00CB2B67">
      <w:pPr>
        <w:jc w:val="both"/>
        <w:rPr>
          <w:sz w:val="26"/>
          <w:szCs w:val="26"/>
        </w:rPr>
      </w:pPr>
    </w:p>
    <w:p w:rsidR="006727B8" w:rsidRPr="005B495B" w:rsidRDefault="006727B8" w:rsidP="00076FBD">
      <w:pPr>
        <w:ind w:firstLine="709"/>
        <w:jc w:val="both"/>
        <w:rPr>
          <w:sz w:val="26"/>
          <w:szCs w:val="26"/>
        </w:rPr>
      </w:pPr>
    </w:p>
    <w:p w:rsidR="000F440B" w:rsidRPr="005B495B" w:rsidRDefault="000F440B" w:rsidP="00CB2B67">
      <w:pPr>
        <w:jc w:val="both"/>
        <w:rPr>
          <w:sz w:val="26"/>
          <w:szCs w:val="26"/>
        </w:rPr>
      </w:pPr>
    </w:p>
    <w:p w:rsidR="00CB2B67" w:rsidRPr="005B495B" w:rsidRDefault="00FB4548" w:rsidP="00CB2B67">
      <w:pPr>
        <w:jc w:val="both"/>
        <w:rPr>
          <w:sz w:val="26"/>
          <w:szCs w:val="26"/>
        </w:rPr>
      </w:pPr>
      <w:r w:rsidRPr="005B495B">
        <w:rPr>
          <w:sz w:val="26"/>
          <w:szCs w:val="26"/>
        </w:rPr>
        <w:t>Ministru prezidents</w:t>
      </w:r>
      <w:r w:rsidRPr="005B495B">
        <w:rPr>
          <w:sz w:val="26"/>
          <w:szCs w:val="26"/>
        </w:rPr>
        <w:tab/>
      </w:r>
      <w:r w:rsidRPr="005B495B">
        <w:rPr>
          <w:sz w:val="26"/>
          <w:szCs w:val="26"/>
        </w:rPr>
        <w:tab/>
      </w:r>
      <w:r w:rsidRPr="005B495B">
        <w:rPr>
          <w:sz w:val="26"/>
          <w:szCs w:val="26"/>
        </w:rPr>
        <w:tab/>
      </w:r>
      <w:r w:rsidRPr="005B495B">
        <w:rPr>
          <w:sz w:val="26"/>
          <w:szCs w:val="26"/>
        </w:rPr>
        <w:tab/>
      </w:r>
      <w:r w:rsidRPr="005B495B">
        <w:rPr>
          <w:sz w:val="26"/>
          <w:szCs w:val="26"/>
        </w:rPr>
        <w:tab/>
      </w:r>
      <w:r w:rsidRPr="005B495B">
        <w:rPr>
          <w:sz w:val="26"/>
          <w:szCs w:val="26"/>
        </w:rPr>
        <w:tab/>
      </w:r>
      <w:r w:rsidR="007655F9" w:rsidRPr="005B495B">
        <w:rPr>
          <w:sz w:val="26"/>
          <w:szCs w:val="26"/>
        </w:rPr>
        <w:tab/>
      </w:r>
      <w:r w:rsidR="007655F9" w:rsidRPr="005B495B">
        <w:rPr>
          <w:sz w:val="26"/>
          <w:szCs w:val="26"/>
        </w:rPr>
        <w:tab/>
      </w:r>
      <w:r w:rsidRPr="005B495B">
        <w:rPr>
          <w:sz w:val="26"/>
          <w:szCs w:val="26"/>
        </w:rPr>
        <w:t>Māris Kučinskis</w:t>
      </w:r>
    </w:p>
    <w:p w:rsidR="00CB2B67" w:rsidRPr="005B495B" w:rsidRDefault="00CB2B67" w:rsidP="00CB2B67">
      <w:pPr>
        <w:jc w:val="both"/>
        <w:rPr>
          <w:sz w:val="26"/>
          <w:szCs w:val="26"/>
        </w:rPr>
      </w:pPr>
    </w:p>
    <w:p w:rsidR="003F1EE4" w:rsidRDefault="003F1EE4" w:rsidP="000236FD">
      <w:pPr>
        <w:tabs>
          <w:tab w:val="left" w:pos="5670"/>
        </w:tabs>
        <w:rPr>
          <w:noProof/>
          <w:sz w:val="26"/>
          <w:szCs w:val="26"/>
        </w:rPr>
      </w:pPr>
      <w:r>
        <w:rPr>
          <w:noProof/>
          <w:sz w:val="26"/>
          <w:szCs w:val="26"/>
        </w:rPr>
        <w:t>Ministru prezidenta biedrs,</w:t>
      </w:r>
    </w:p>
    <w:p w:rsidR="000236FD" w:rsidRPr="000236FD" w:rsidRDefault="003F1EE4" w:rsidP="000236FD">
      <w:pPr>
        <w:tabs>
          <w:tab w:val="left" w:pos="5670"/>
        </w:tabs>
        <w:rPr>
          <w:sz w:val="26"/>
          <w:szCs w:val="26"/>
        </w:rPr>
      </w:pPr>
      <w:r>
        <w:rPr>
          <w:noProof/>
          <w:sz w:val="26"/>
          <w:szCs w:val="26"/>
        </w:rPr>
        <w:t>Ekonomikas ministrs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Arvils </w:t>
      </w:r>
      <w:proofErr w:type="spellStart"/>
      <w:r>
        <w:rPr>
          <w:sz w:val="26"/>
          <w:szCs w:val="26"/>
        </w:rPr>
        <w:t>Ašreradens</w:t>
      </w:r>
      <w:proofErr w:type="spellEnd"/>
    </w:p>
    <w:p w:rsidR="00CB2B67" w:rsidRPr="005B495B" w:rsidRDefault="00CB2B67" w:rsidP="00CB2B67">
      <w:pPr>
        <w:jc w:val="both"/>
        <w:rPr>
          <w:sz w:val="26"/>
          <w:szCs w:val="26"/>
        </w:rPr>
      </w:pPr>
    </w:p>
    <w:p w:rsidR="00CB2B67" w:rsidRPr="005B495B" w:rsidRDefault="00FB4548" w:rsidP="00CB2B67">
      <w:pPr>
        <w:jc w:val="both"/>
        <w:rPr>
          <w:sz w:val="26"/>
          <w:szCs w:val="26"/>
        </w:rPr>
      </w:pPr>
      <w:r w:rsidRPr="005B495B">
        <w:rPr>
          <w:sz w:val="26"/>
          <w:szCs w:val="26"/>
        </w:rPr>
        <w:t>Iesniedzējs:</w:t>
      </w:r>
    </w:p>
    <w:p w:rsidR="003F1EE4" w:rsidRDefault="003F1EE4" w:rsidP="003F1EE4">
      <w:pPr>
        <w:tabs>
          <w:tab w:val="left" w:pos="5670"/>
        </w:tabs>
        <w:rPr>
          <w:noProof/>
          <w:sz w:val="26"/>
          <w:szCs w:val="26"/>
        </w:rPr>
      </w:pPr>
      <w:r>
        <w:rPr>
          <w:noProof/>
          <w:sz w:val="26"/>
          <w:szCs w:val="26"/>
        </w:rPr>
        <w:t>Ministru prezidenta biedrs,</w:t>
      </w:r>
    </w:p>
    <w:p w:rsidR="003F1EE4" w:rsidRPr="000236FD" w:rsidRDefault="003F1EE4" w:rsidP="003F1EE4">
      <w:pPr>
        <w:tabs>
          <w:tab w:val="left" w:pos="5670"/>
        </w:tabs>
        <w:rPr>
          <w:sz w:val="26"/>
          <w:szCs w:val="26"/>
        </w:rPr>
      </w:pPr>
      <w:r>
        <w:rPr>
          <w:noProof/>
          <w:sz w:val="26"/>
          <w:szCs w:val="26"/>
        </w:rPr>
        <w:t>Ekonomikas ministrs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Arvils </w:t>
      </w:r>
      <w:proofErr w:type="spellStart"/>
      <w:r>
        <w:rPr>
          <w:sz w:val="26"/>
          <w:szCs w:val="26"/>
        </w:rPr>
        <w:t>Ašreradens</w:t>
      </w:r>
      <w:proofErr w:type="spellEnd"/>
    </w:p>
    <w:p w:rsidR="000236FD" w:rsidRDefault="000236FD" w:rsidP="00270B95">
      <w:pPr>
        <w:jc w:val="both"/>
        <w:rPr>
          <w:sz w:val="26"/>
          <w:szCs w:val="26"/>
        </w:rPr>
      </w:pPr>
    </w:p>
    <w:p w:rsidR="000236FD" w:rsidRDefault="000236FD" w:rsidP="00270B95">
      <w:pPr>
        <w:jc w:val="both"/>
        <w:rPr>
          <w:sz w:val="26"/>
          <w:szCs w:val="26"/>
        </w:rPr>
      </w:pPr>
    </w:p>
    <w:p w:rsidR="00111DCC" w:rsidRPr="005B495B" w:rsidRDefault="00FB4548" w:rsidP="00270B95">
      <w:pPr>
        <w:jc w:val="both"/>
        <w:rPr>
          <w:sz w:val="26"/>
          <w:szCs w:val="26"/>
        </w:rPr>
      </w:pPr>
      <w:r w:rsidRPr="005B495B">
        <w:rPr>
          <w:sz w:val="26"/>
          <w:szCs w:val="26"/>
        </w:rPr>
        <w:t>Vīza:</w:t>
      </w:r>
    </w:p>
    <w:p w:rsidR="00270B95" w:rsidRPr="005B495B" w:rsidRDefault="00FB4548" w:rsidP="00270B95">
      <w:pPr>
        <w:jc w:val="both"/>
        <w:rPr>
          <w:sz w:val="26"/>
          <w:szCs w:val="26"/>
        </w:rPr>
      </w:pPr>
      <w:r w:rsidRPr="005B495B">
        <w:rPr>
          <w:sz w:val="26"/>
          <w:szCs w:val="26"/>
        </w:rPr>
        <w:t xml:space="preserve">Valsts sekretārs </w:t>
      </w:r>
      <w:r w:rsidRPr="005B495B">
        <w:rPr>
          <w:sz w:val="26"/>
          <w:szCs w:val="26"/>
        </w:rPr>
        <w:tab/>
      </w:r>
      <w:r w:rsidRPr="005B495B">
        <w:rPr>
          <w:sz w:val="26"/>
          <w:szCs w:val="26"/>
        </w:rPr>
        <w:tab/>
      </w:r>
      <w:r w:rsidRPr="005B495B">
        <w:rPr>
          <w:sz w:val="26"/>
          <w:szCs w:val="26"/>
        </w:rPr>
        <w:tab/>
      </w:r>
      <w:r w:rsidRPr="005B495B">
        <w:rPr>
          <w:sz w:val="26"/>
          <w:szCs w:val="26"/>
        </w:rPr>
        <w:tab/>
      </w:r>
      <w:r w:rsidRPr="005B495B">
        <w:rPr>
          <w:sz w:val="26"/>
          <w:szCs w:val="26"/>
        </w:rPr>
        <w:tab/>
      </w:r>
      <w:r w:rsidRPr="005B495B">
        <w:rPr>
          <w:sz w:val="26"/>
          <w:szCs w:val="26"/>
        </w:rPr>
        <w:tab/>
      </w:r>
      <w:r w:rsidRPr="005B495B">
        <w:rPr>
          <w:sz w:val="26"/>
          <w:szCs w:val="26"/>
        </w:rPr>
        <w:tab/>
      </w:r>
      <w:r w:rsidRPr="005B495B">
        <w:rPr>
          <w:sz w:val="26"/>
          <w:szCs w:val="26"/>
        </w:rPr>
        <w:tab/>
      </w:r>
      <w:r w:rsidR="003C7CBF" w:rsidRPr="005B495B">
        <w:rPr>
          <w:sz w:val="26"/>
          <w:szCs w:val="26"/>
        </w:rPr>
        <w:t xml:space="preserve">Ēriks </w:t>
      </w:r>
      <w:r w:rsidR="00714D9C" w:rsidRPr="005B495B">
        <w:rPr>
          <w:sz w:val="26"/>
          <w:szCs w:val="26"/>
        </w:rPr>
        <w:t>Eglītis</w:t>
      </w:r>
    </w:p>
    <w:p w:rsidR="007655F9" w:rsidRDefault="007655F9" w:rsidP="00270B95">
      <w:pPr>
        <w:jc w:val="both"/>
        <w:rPr>
          <w:sz w:val="26"/>
          <w:szCs w:val="26"/>
        </w:rPr>
      </w:pPr>
    </w:p>
    <w:p w:rsidR="000236FD" w:rsidRDefault="000236FD" w:rsidP="00270B95">
      <w:pPr>
        <w:jc w:val="both"/>
        <w:rPr>
          <w:sz w:val="26"/>
          <w:szCs w:val="26"/>
        </w:rPr>
      </w:pPr>
      <w:bookmarkStart w:id="0" w:name="_GoBack"/>
      <w:bookmarkEnd w:id="0"/>
    </w:p>
    <w:p w:rsidR="000236FD" w:rsidRDefault="000236FD" w:rsidP="00270B95">
      <w:pPr>
        <w:jc w:val="both"/>
        <w:rPr>
          <w:sz w:val="26"/>
          <w:szCs w:val="26"/>
        </w:rPr>
      </w:pPr>
    </w:p>
    <w:p w:rsidR="000236FD" w:rsidRDefault="000236FD" w:rsidP="00270B95">
      <w:pPr>
        <w:jc w:val="both"/>
        <w:rPr>
          <w:sz w:val="26"/>
          <w:szCs w:val="26"/>
        </w:rPr>
      </w:pPr>
    </w:p>
    <w:p w:rsidR="000236FD" w:rsidRPr="005B495B" w:rsidRDefault="000236FD" w:rsidP="00270B95">
      <w:pPr>
        <w:jc w:val="both"/>
        <w:rPr>
          <w:sz w:val="26"/>
          <w:szCs w:val="26"/>
        </w:rPr>
      </w:pPr>
    </w:p>
    <w:p w:rsidR="007655F9" w:rsidRPr="005B495B" w:rsidRDefault="007655F9" w:rsidP="00270B95">
      <w:pPr>
        <w:jc w:val="both"/>
        <w:rPr>
          <w:sz w:val="26"/>
          <w:szCs w:val="26"/>
        </w:rPr>
      </w:pPr>
    </w:p>
    <w:p w:rsidR="007655F9" w:rsidRPr="005B495B" w:rsidRDefault="00FB4548" w:rsidP="00270B95">
      <w:pPr>
        <w:jc w:val="both"/>
        <w:rPr>
          <w:sz w:val="16"/>
          <w:szCs w:val="26"/>
        </w:rPr>
      </w:pPr>
      <w:proofErr w:type="spellStart"/>
      <w:r w:rsidRPr="005B495B">
        <w:rPr>
          <w:sz w:val="16"/>
          <w:szCs w:val="26"/>
        </w:rPr>
        <w:t>Rušenieks</w:t>
      </w:r>
      <w:proofErr w:type="spellEnd"/>
      <w:r w:rsidRPr="005B495B">
        <w:rPr>
          <w:sz w:val="16"/>
          <w:szCs w:val="26"/>
        </w:rPr>
        <w:t>, 67013066</w:t>
      </w:r>
    </w:p>
    <w:p w:rsidR="007655F9" w:rsidRPr="007655F9" w:rsidRDefault="00FB4548" w:rsidP="00270B95">
      <w:pPr>
        <w:jc w:val="both"/>
        <w:rPr>
          <w:sz w:val="16"/>
          <w:szCs w:val="16"/>
        </w:rPr>
      </w:pPr>
      <w:hyperlink r:id="rId8" w:history="1">
        <w:r w:rsidR="00FF247B" w:rsidRPr="00A6121B">
          <w:rPr>
            <w:rStyle w:val="Hyperlink"/>
            <w:sz w:val="16"/>
            <w:szCs w:val="16"/>
          </w:rPr>
          <w:t>Rihards.Rusenieks@em.gov.lv</w:t>
        </w:r>
      </w:hyperlink>
    </w:p>
    <w:sectPr w:rsidR="007655F9" w:rsidRPr="007655F9" w:rsidSect="00CB2B67">
      <w:headerReference w:type="defaul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548" w:rsidRDefault="00FB4548">
      <w:r>
        <w:separator/>
      </w:r>
    </w:p>
  </w:endnote>
  <w:endnote w:type="continuationSeparator" w:id="0">
    <w:p w:rsidR="00FB4548" w:rsidRDefault="00FB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B67" w:rsidRPr="009F3EFB" w:rsidRDefault="00FB4548">
    <w:pPr>
      <w:pStyle w:val="Footer"/>
      <w:rPr>
        <w:sz w:val="20"/>
        <w:szCs w:val="20"/>
      </w:rPr>
    </w:pPr>
    <w:r>
      <w:rPr>
        <w:sz w:val="20"/>
        <w:szCs w:val="20"/>
      </w:rPr>
      <w:t>EMnot_</w:t>
    </w:r>
    <w:r w:rsidR="000F440B">
      <w:rPr>
        <w:sz w:val="20"/>
        <w:szCs w:val="20"/>
      </w:rPr>
      <w:t>20</w:t>
    </w:r>
    <w:r w:rsidR="00714D9C">
      <w:rPr>
        <w:sz w:val="20"/>
        <w:szCs w:val="20"/>
      </w:rPr>
      <w:t>0418</w:t>
    </w:r>
    <w:r>
      <w:rPr>
        <w:sz w:val="20"/>
        <w:szCs w:val="20"/>
      </w:rPr>
      <w:t>_</w:t>
    </w:r>
    <w:r w:rsidR="007655F9">
      <w:rPr>
        <w:sz w:val="20"/>
        <w:szCs w:val="20"/>
      </w:rPr>
      <w:t>312NOT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548" w:rsidRDefault="00FB4548">
      <w:r>
        <w:separator/>
      </w:r>
    </w:p>
  </w:footnote>
  <w:footnote w:type="continuationSeparator" w:id="0">
    <w:p w:rsidR="00FB4548" w:rsidRDefault="00FB4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54130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B2B67" w:rsidRDefault="00FB454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E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2B67" w:rsidRDefault="00CB2B67" w:rsidP="00CB2B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57E363A"/>
    <w:multiLevelType w:val="hybridMultilevel"/>
    <w:tmpl w:val="CB4E00CE"/>
    <w:lvl w:ilvl="0" w:tplc="AABA0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296718A" w:tentative="1">
      <w:start w:val="1"/>
      <w:numFmt w:val="lowerLetter"/>
      <w:lvlText w:val="%2."/>
      <w:lvlJc w:val="left"/>
      <w:pPr>
        <w:ind w:left="1789" w:hanging="360"/>
      </w:pPr>
    </w:lvl>
    <w:lvl w:ilvl="2" w:tplc="5A086B12" w:tentative="1">
      <w:start w:val="1"/>
      <w:numFmt w:val="lowerRoman"/>
      <w:lvlText w:val="%3."/>
      <w:lvlJc w:val="right"/>
      <w:pPr>
        <w:ind w:left="2509" w:hanging="180"/>
      </w:pPr>
    </w:lvl>
    <w:lvl w:ilvl="3" w:tplc="2C2E61B2" w:tentative="1">
      <w:start w:val="1"/>
      <w:numFmt w:val="decimal"/>
      <w:lvlText w:val="%4."/>
      <w:lvlJc w:val="left"/>
      <w:pPr>
        <w:ind w:left="3229" w:hanging="360"/>
      </w:pPr>
    </w:lvl>
    <w:lvl w:ilvl="4" w:tplc="608EA010" w:tentative="1">
      <w:start w:val="1"/>
      <w:numFmt w:val="lowerLetter"/>
      <w:lvlText w:val="%5."/>
      <w:lvlJc w:val="left"/>
      <w:pPr>
        <w:ind w:left="3949" w:hanging="360"/>
      </w:pPr>
    </w:lvl>
    <w:lvl w:ilvl="5" w:tplc="04126120" w:tentative="1">
      <w:start w:val="1"/>
      <w:numFmt w:val="lowerRoman"/>
      <w:lvlText w:val="%6."/>
      <w:lvlJc w:val="right"/>
      <w:pPr>
        <w:ind w:left="4669" w:hanging="180"/>
      </w:pPr>
    </w:lvl>
    <w:lvl w:ilvl="6" w:tplc="62B8AC58" w:tentative="1">
      <w:start w:val="1"/>
      <w:numFmt w:val="decimal"/>
      <w:lvlText w:val="%7."/>
      <w:lvlJc w:val="left"/>
      <w:pPr>
        <w:ind w:left="5389" w:hanging="360"/>
      </w:pPr>
    </w:lvl>
    <w:lvl w:ilvl="7" w:tplc="4CCA4FF4" w:tentative="1">
      <w:start w:val="1"/>
      <w:numFmt w:val="lowerLetter"/>
      <w:lvlText w:val="%8."/>
      <w:lvlJc w:val="left"/>
      <w:pPr>
        <w:ind w:left="6109" w:hanging="360"/>
      </w:pPr>
    </w:lvl>
    <w:lvl w:ilvl="8" w:tplc="CFC66FD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1">
    <w:nsid w:val="3DD95DCC"/>
    <w:multiLevelType w:val="hybridMultilevel"/>
    <w:tmpl w:val="BE5C7774"/>
    <w:lvl w:ilvl="0" w:tplc="A2E00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32880FA" w:tentative="1">
      <w:start w:val="1"/>
      <w:numFmt w:val="lowerLetter"/>
      <w:lvlText w:val="%2."/>
      <w:lvlJc w:val="left"/>
      <w:pPr>
        <w:ind w:left="1800" w:hanging="360"/>
      </w:pPr>
    </w:lvl>
    <w:lvl w:ilvl="2" w:tplc="60A033E6" w:tentative="1">
      <w:start w:val="1"/>
      <w:numFmt w:val="lowerRoman"/>
      <w:lvlText w:val="%3."/>
      <w:lvlJc w:val="right"/>
      <w:pPr>
        <w:ind w:left="2520" w:hanging="180"/>
      </w:pPr>
    </w:lvl>
    <w:lvl w:ilvl="3" w:tplc="4B8C92BA" w:tentative="1">
      <w:start w:val="1"/>
      <w:numFmt w:val="decimal"/>
      <w:lvlText w:val="%4."/>
      <w:lvlJc w:val="left"/>
      <w:pPr>
        <w:ind w:left="3240" w:hanging="360"/>
      </w:pPr>
    </w:lvl>
    <w:lvl w:ilvl="4" w:tplc="95C41846" w:tentative="1">
      <w:start w:val="1"/>
      <w:numFmt w:val="lowerLetter"/>
      <w:lvlText w:val="%5."/>
      <w:lvlJc w:val="left"/>
      <w:pPr>
        <w:ind w:left="3960" w:hanging="360"/>
      </w:pPr>
    </w:lvl>
    <w:lvl w:ilvl="5" w:tplc="AFB65042" w:tentative="1">
      <w:start w:val="1"/>
      <w:numFmt w:val="lowerRoman"/>
      <w:lvlText w:val="%6."/>
      <w:lvlJc w:val="right"/>
      <w:pPr>
        <w:ind w:left="4680" w:hanging="180"/>
      </w:pPr>
    </w:lvl>
    <w:lvl w:ilvl="6" w:tplc="64A8FAF2" w:tentative="1">
      <w:start w:val="1"/>
      <w:numFmt w:val="decimal"/>
      <w:lvlText w:val="%7."/>
      <w:lvlJc w:val="left"/>
      <w:pPr>
        <w:ind w:left="5400" w:hanging="360"/>
      </w:pPr>
    </w:lvl>
    <w:lvl w:ilvl="7" w:tplc="CE621EBA" w:tentative="1">
      <w:start w:val="1"/>
      <w:numFmt w:val="lowerLetter"/>
      <w:lvlText w:val="%8."/>
      <w:lvlJc w:val="left"/>
      <w:pPr>
        <w:ind w:left="6120" w:hanging="360"/>
      </w:pPr>
    </w:lvl>
    <w:lvl w:ilvl="8" w:tplc="27E4BC1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42FC7BB1"/>
    <w:multiLevelType w:val="hybridMultilevel"/>
    <w:tmpl w:val="F71A414C"/>
    <w:lvl w:ilvl="0" w:tplc="AE9062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6A5E2384" w:tentative="1">
      <w:start w:val="1"/>
      <w:numFmt w:val="lowerLetter"/>
      <w:lvlText w:val="%2."/>
      <w:lvlJc w:val="left"/>
      <w:pPr>
        <w:ind w:left="1931" w:hanging="360"/>
      </w:pPr>
    </w:lvl>
    <w:lvl w:ilvl="2" w:tplc="02C4571C" w:tentative="1">
      <w:start w:val="1"/>
      <w:numFmt w:val="lowerRoman"/>
      <w:lvlText w:val="%3."/>
      <w:lvlJc w:val="right"/>
      <w:pPr>
        <w:ind w:left="2651" w:hanging="180"/>
      </w:pPr>
    </w:lvl>
    <w:lvl w:ilvl="3" w:tplc="69D44946" w:tentative="1">
      <w:start w:val="1"/>
      <w:numFmt w:val="decimal"/>
      <w:lvlText w:val="%4."/>
      <w:lvlJc w:val="left"/>
      <w:pPr>
        <w:ind w:left="3371" w:hanging="360"/>
      </w:pPr>
    </w:lvl>
    <w:lvl w:ilvl="4" w:tplc="6F7C8938" w:tentative="1">
      <w:start w:val="1"/>
      <w:numFmt w:val="lowerLetter"/>
      <w:lvlText w:val="%5."/>
      <w:lvlJc w:val="left"/>
      <w:pPr>
        <w:ind w:left="4091" w:hanging="360"/>
      </w:pPr>
    </w:lvl>
    <w:lvl w:ilvl="5" w:tplc="D1CC089E" w:tentative="1">
      <w:start w:val="1"/>
      <w:numFmt w:val="lowerRoman"/>
      <w:lvlText w:val="%6."/>
      <w:lvlJc w:val="right"/>
      <w:pPr>
        <w:ind w:left="4811" w:hanging="180"/>
      </w:pPr>
    </w:lvl>
    <w:lvl w:ilvl="6" w:tplc="15C4806C" w:tentative="1">
      <w:start w:val="1"/>
      <w:numFmt w:val="decimal"/>
      <w:lvlText w:val="%7."/>
      <w:lvlJc w:val="left"/>
      <w:pPr>
        <w:ind w:left="5531" w:hanging="360"/>
      </w:pPr>
    </w:lvl>
    <w:lvl w:ilvl="7" w:tplc="32BE1AA2" w:tentative="1">
      <w:start w:val="1"/>
      <w:numFmt w:val="lowerLetter"/>
      <w:lvlText w:val="%8."/>
      <w:lvlJc w:val="left"/>
      <w:pPr>
        <w:ind w:left="6251" w:hanging="360"/>
      </w:pPr>
    </w:lvl>
    <w:lvl w:ilvl="8" w:tplc="438A60C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1">
    <w:nsid w:val="460042FE"/>
    <w:multiLevelType w:val="hybridMultilevel"/>
    <w:tmpl w:val="076AEBCA"/>
    <w:lvl w:ilvl="0" w:tplc="6F929C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574EBA8" w:tentative="1">
      <w:start w:val="1"/>
      <w:numFmt w:val="lowerLetter"/>
      <w:lvlText w:val="%2."/>
      <w:lvlJc w:val="left"/>
      <w:pPr>
        <w:ind w:left="1931" w:hanging="360"/>
      </w:pPr>
    </w:lvl>
    <w:lvl w:ilvl="2" w:tplc="212292C8" w:tentative="1">
      <w:start w:val="1"/>
      <w:numFmt w:val="lowerRoman"/>
      <w:lvlText w:val="%3."/>
      <w:lvlJc w:val="right"/>
      <w:pPr>
        <w:ind w:left="2651" w:hanging="180"/>
      </w:pPr>
    </w:lvl>
    <w:lvl w:ilvl="3" w:tplc="6B0AFFB4" w:tentative="1">
      <w:start w:val="1"/>
      <w:numFmt w:val="decimal"/>
      <w:lvlText w:val="%4."/>
      <w:lvlJc w:val="left"/>
      <w:pPr>
        <w:ind w:left="3371" w:hanging="360"/>
      </w:pPr>
    </w:lvl>
    <w:lvl w:ilvl="4" w:tplc="4B5EB6A6" w:tentative="1">
      <w:start w:val="1"/>
      <w:numFmt w:val="lowerLetter"/>
      <w:lvlText w:val="%5."/>
      <w:lvlJc w:val="left"/>
      <w:pPr>
        <w:ind w:left="4091" w:hanging="360"/>
      </w:pPr>
    </w:lvl>
    <w:lvl w:ilvl="5" w:tplc="B3F2E7CA" w:tentative="1">
      <w:start w:val="1"/>
      <w:numFmt w:val="lowerRoman"/>
      <w:lvlText w:val="%6."/>
      <w:lvlJc w:val="right"/>
      <w:pPr>
        <w:ind w:left="4811" w:hanging="180"/>
      </w:pPr>
    </w:lvl>
    <w:lvl w:ilvl="6" w:tplc="DD909708" w:tentative="1">
      <w:start w:val="1"/>
      <w:numFmt w:val="decimal"/>
      <w:lvlText w:val="%7."/>
      <w:lvlJc w:val="left"/>
      <w:pPr>
        <w:ind w:left="5531" w:hanging="360"/>
      </w:pPr>
    </w:lvl>
    <w:lvl w:ilvl="7" w:tplc="898A05BE" w:tentative="1">
      <w:start w:val="1"/>
      <w:numFmt w:val="lowerLetter"/>
      <w:lvlText w:val="%8."/>
      <w:lvlJc w:val="left"/>
      <w:pPr>
        <w:ind w:left="6251" w:hanging="360"/>
      </w:pPr>
    </w:lvl>
    <w:lvl w:ilvl="8" w:tplc="B3CAD430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67"/>
    <w:rsid w:val="00011296"/>
    <w:rsid w:val="0001738B"/>
    <w:rsid w:val="00021ADF"/>
    <w:rsid w:val="000236FD"/>
    <w:rsid w:val="0002632C"/>
    <w:rsid w:val="000412D5"/>
    <w:rsid w:val="00042327"/>
    <w:rsid w:val="00076FBD"/>
    <w:rsid w:val="000872BF"/>
    <w:rsid w:val="000A002D"/>
    <w:rsid w:val="000A02AE"/>
    <w:rsid w:val="000B0D0D"/>
    <w:rsid w:val="000F440B"/>
    <w:rsid w:val="00111DCC"/>
    <w:rsid w:val="001550CF"/>
    <w:rsid w:val="001611A9"/>
    <w:rsid w:val="00194521"/>
    <w:rsid w:val="001A2E53"/>
    <w:rsid w:val="001E3A87"/>
    <w:rsid w:val="00221777"/>
    <w:rsid w:val="00226700"/>
    <w:rsid w:val="00227F2E"/>
    <w:rsid w:val="00270B95"/>
    <w:rsid w:val="002737E5"/>
    <w:rsid w:val="002952D5"/>
    <w:rsid w:val="002A5E15"/>
    <w:rsid w:val="002D51F3"/>
    <w:rsid w:val="002F0E50"/>
    <w:rsid w:val="003271F4"/>
    <w:rsid w:val="003556F4"/>
    <w:rsid w:val="00381317"/>
    <w:rsid w:val="003B3C86"/>
    <w:rsid w:val="003C7CBF"/>
    <w:rsid w:val="003D366D"/>
    <w:rsid w:val="003E34EA"/>
    <w:rsid w:val="003E5A5B"/>
    <w:rsid w:val="003F1173"/>
    <w:rsid w:val="003F1EE4"/>
    <w:rsid w:val="003F3A90"/>
    <w:rsid w:val="003F5504"/>
    <w:rsid w:val="00430C58"/>
    <w:rsid w:val="00475882"/>
    <w:rsid w:val="004C2DDE"/>
    <w:rsid w:val="004D6C00"/>
    <w:rsid w:val="00531EBF"/>
    <w:rsid w:val="0053394C"/>
    <w:rsid w:val="00547AC2"/>
    <w:rsid w:val="005542E8"/>
    <w:rsid w:val="005865FE"/>
    <w:rsid w:val="005A395C"/>
    <w:rsid w:val="005B495B"/>
    <w:rsid w:val="005D76B7"/>
    <w:rsid w:val="00604D54"/>
    <w:rsid w:val="00624ECC"/>
    <w:rsid w:val="00646909"/>
    <w:rsid w:val="006727B8"/>
    <w:rsid w:val="00675F30"/>
    <w:rsid w:val="006A3853"/>
    <w:rsid w:val="006B399A"/>
    <w:rsid w:val="006C0106"/>
    <w:rsid w:val="006C2932"/>
    <w:rsid w:val="006D121C"/>
    <w:rsid w:val="006D1C89"/>
    <w:rsid w:val="00714D9C"/>
    <w:rsid w:val="007316A7"/>
    <w:rsid w:val="00745AEA"/>
    <w:rsid w:val="007543CF"/>
    <w:rsid w:val="007655F9"/>
    <w:rsid w:val="007A3524"/>
    <w:rsid w:val="007A7434"/>
    <w:rsid w:val="007B1F16"/>
    <w:rsid w:val="007C401B"/>
    <w:rsid w:val="007F21FB"/>
    <w:rsid w:val="00816392"/>
    <w:rsid w:val="008357C8"/>
    <w:rsid w:val="00843EA9"/>
    <w:rsid w:val="008562A4"/>
    <w:rsid w:val="00862238"/>
    <w:rsid w:val="00890DC5"/>
    <w:rsid w:val="008A1B5D"/>
    <w:rsid w:val="008B2426"/>
    <w:rsid w:val="008B5AF0"/>
    <w:rsid w:val="008C76E0"/>
    <w:rsid w:val="008E7C2E"/>
    <w:rsid w:val="008F655B"/>
    <w:rsid w:val="00914B69"/>
    <w:rsid w:val="00936026"/>
    <w:rsid w:val="00941D40"/>
    <w:rsid w:val="00960F8A"/>
    <w:rsid w:val="0098673F"/>
    <w:rsid w:val="009B1347"/>
    <w:rsid w:val="009C635C"/>
    <w:rsid w:val="009F3EFB"/>
    <w:rsid w:val="009F4428"/>
    <w:rsid w:val="009F5897"/>
    <w:rsid w:val="00A10728"/>
    <w:rsid w:val="00A14F41"/>
    <w:rsid w:val="00A25419"/>
    <w:rsid w:val="00A6121B"/>
    <w:rsid w:val="00A6206E"/>
    <w:rsid w:val="00A71AD9"/>
    <w:rsid w:val="00A73268"/>
    <w:rsid w:val="00A81E8F"/>
    <w:rsid w:val="00AA7F61"/>
    <w:rsid w:val="00AB01C8"/>
    <w:rsid w:val="00AC4A78"/>
    <w:rsid w:val="00AD47DE"/>
    <w:rsid w:val="00AD63C2"/>
    <w:rsid w:val="00AF3B61"/>
    <w:rsid w:val="00B0264C"/>
    <w:rsid w:val="00B03723"/>
    <w:rsid w:val="00B13F29"/>
    <w:rsid w:val="00B21289"/>
    <w:rsid w:val="00B80E51"/>
    <w:rsid w:val="00B91878"/>
    <w:rsid w:val="00BC6BC0"/>
    <w:rsid w:val="00BE34B5"/>
    <w:rsid w:val="00BF7322"/>
    <w:rsid w:val="00C07D1C"/>
    <w:rsid w:val="00C11082"/>
    <w:rsid w:val="00C24D9A"/>
    <w:rsid w:val="00C47E2A"/>
    <w:rsid w:val="00C50D2A"/>
    <w:rsid w:val="00CB055C"/>
    <w:rsid w:val="00CB2B67"/>
    <w:rsid w:val="00CD6F63"/>
    <w:rsid w:val="00D2121C"/>
    <w:rsid w:val="00D83EA7"/>
    <w:rsid w:val="00DB2A0B"/>
    <w:rsid w:val="00E022F5"/>
    <w:rsid w:val="00E238E5"/>
    <w:rsid w:val="00E26220"/>
    <w:rsid w:val="00E449AF"/>
    <w:rsid w:val="00EC609E"/>
    <w:rsid w:val="00F06813"/>
    <w:rsid w:val="00F32937"/>
    <w:rsid w:val="00F449EB"/>
    <w:rsid w:val="00F60E75"/>
    <w:rsid w:val="00F66DB5"/>
    <w:rsid w:val="00F74559"/>
    <w:rsid w:val="00F753CD"/>
    <w:rsid w:val="00F91B4F"/>
    <w:rsid w:val="00F9528F"/>
    <w:rsid w:val="00FA06D5"/>
    <w:rsid w:val="00FA7D41"/>
    <w:rsid w:val="00FB4548"/>
    <w:rsid w:val="00FD30B4"/>
    <w:rsid w:val="00FD7E18"/>
    <w:rsid w:val="00FF247B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EFAF7"/>
  <w15:docId w15:val="{B72C1584-DDE6-4D7E-87F5-C6F22D74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2B67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B2B67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CB2B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B6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B2B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B6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E34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4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426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B0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01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01C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1C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7655F9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7655F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89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hards.Rusenieks@e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E9395-CC9A-4071-B971-FBB2E3AE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1810</Words>
  <Characters>1033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2009.gada 21.jūlija noteikumos Nr.792 "Noteikumi par saistību piespiedu izpildīšanas brīdinājuma kārtībā izmantojamām veidlapām"</vt:lpstr>
      <vt:lpstr>Grozījums Ministru kabineta 2009.gada 21.jūlija noteikumos Nr.792 "Noteikumi par saistību piespiedu izpildīšanas brīdinājuma kārtībā izmantojamām veidlapām"</vt:lpstr>
    </vt:vector>
  </TitlesOfParts>
  <Company>Tieslietu ministrija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2009.gada 21.jūlija noteikumos Nr.792 "Noteikumi par saistību piespiedu izpildīšanas brīdinājuma kārtībā izmantojamām veidlapām"</dc:title>
  <dc:subject>Ministru kabienta noteikumu projekts</dc:subject>
  <dc:creator>Evija Timpare</dc:creator>
  <dc:description>67036829, evija.timpare@tm.gov.lv</dc:description>
  <cp:lastModifiedBy>Ieva Hvesko</cp:lastModifiedBy>
  <cp:revision>18</cp:revision>
  <cp:lastPrinted>2018-03-16T11:38:00Z</cp:lastPrinted>
  <dcterms:created xsi:type="dcterms:W3CDTF">2018-04-19T20:54:00Z</dcterms:created>
  <dcterms:modified xsi:type="dcterms:W3CDTF">2018-05-07T06:43:00Z</dcterms:modified>
</cp:coreProperties>
</file>